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D1" w:rsidRDefault="00D72BD1" w:rsidP="00D72B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детский сад комбинированного вида № 104 «Звоночек» г. </w:t>
      </w:r>
      <w:proofErr w:type="gramStart"/>
      <w:r>
        <w:rPr>
          <w:rFonts w:ascii="Times New Roman" w:hAnsi="Times New Roman"/>
          <w:sz w:val="24"/>
          <w:szCs w:val="24"/>
        </w:rPr>
        <w:t>Волжского  Волгоградской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обл</w:t>
      </w:r>
      <w:r>
        <w:rPr>
          <w:rFonts w:ascii="Times New Roman" w:hAnsi="Times New Roman"/>
          <w:sz w:val="24"/>
          <w:szCs w:val="24"/>
        </w:rPr>
        <w:t>асти</w:t>
      </w:r>
    </w:p>
    <w:p w:rsidR="00D72BD1" w:rsidRDefault="00D72BD1" w:rsidP="00D72BD1">
      <w:pPr>
        <w:jc w:val="both"/>
        <w:rPr>
          <w:rFonts w:ascii="Times New Roman" w:hAnsi="Times New Roman"/>
          <w:sz w:val="24"/>
          <w:szCs w:val="24"/>
        </w:rPr>
      </w:pPr>
    </w:p>
    <w:p w:rsidR="00D72BD1" w:rsidRDefault="00D72BD1" w:rsidP="00D72BD1">
      <w:pPr>
        <w:jc w:val="both"/>
        <w:rPr>
          <w:rFonts w:ascii="Times New Roman" w:hAnsi="Times New Roman"/>
          <w:sz w:val="24"/>
          <w:szCs w:val="24"/>
        </w:rPr>
      </w:pPr>
    </w:p>
    <w:p w:rsidR="00D72BD1" w:rsidRDefault="00D72BD1" w:rsidP="00D72BD1">
      <w:pPr>
        <w:jc w:val="both"/>
        <w:rPr>
          <w:rFonts w:ascii="Times New Roman" w:hAnsi="Times New Roman"/>
          <w:sz w:val="24"/>
          <w:szCs w:val="24"/>
        </w:rPr>
      </w:pPr>
    </w:p>
    <w:p w:rsidR="00D72BD1" w:rsidRDefault="00D72BD1" w:rsidP="00D72BD1">
      <w:pPr>
        <w:jc w:val="both"/>
        <w:rPr>
          <w:rFonts w:ascii="Times New Roman" w:hAnsi="Times New Roman"/>
          <w:sz w:val="24"/>
          <w:szCs w:val="24"/>
        </w:rPr>
      </w:pPr>
    </w:p>
    <w:p w:rsidR="00D72BD1" w:rsidRDefault="00D72BD1" w:rsidP="00D72BD1">
      <w:pPr>
        <w:jc w:val="both"/>
        <w:rPr>
          <w:rFonts w:ascii="Times New Roman" w:hAnsi="Times New Roman"/>
          <w:sz w:val="24"/>
          <w:szCs w:val="24"/>
        </w:rPr>
      </w:pPr>
    </w:p>
    <w:p w:rsidR="00D72BD1" w:rsidRDefault="00D72BD1" w:rsidP="00D72BD1">
      <w:pPr>
        <w:jc w:val="both"/>
        <w:rPr>
          <w:rFonts w:ascii="Times New Roman" w:hAnsi="Times New Roman"/>
          <w:sz w:val="24"/>
          <w:szCs w:val="24"/>
        </w:rPr>
      </w:pPr>
    </w:p>
    <w:p w:rsidR="00D72BD1" w:rsidRDefault="00D72BD1" w:rsidP="00D72BD1">
      <w:pPr>
        <w:jc w:val="both"/>
        <w:rPr>
          <w:rFonts w:ascii="Times New Roman" w:hAnsi="Times New Roman"/>
          <w:sz w:val="24"/>
          <w:szCs w:val="24"/>
        </w:rPr>
      </w:pPr>
    </w:p>
    <w:p w:rsidR="00D72BD1" w:rsidRPr="001A28A3" w:rsidRDefault="00D72BD1" w:rsidP="00D72BD1">
      <w:pPr>
        <w:jc w:val="center"/>
        <w:rPr>
          <w:rFonts w:ascii="Times New Roman" w:hAnsi="Times New Roman"/>
          <w:sz w:val="28"/>
          <w:szCs w:val="28"/>
        </w:rPr>
      </w:pPr>
      <w:r w:rsidRPr="001A28A3">
        <w:rPr>
          <w:rFonts w:ascii="Times New Roman" w:hAnsi="Times New Roman"/>
          <w:sz w:val="28"/>
          <w:szCs w:val="28"/>
        </w:rPr>
        <w:t>Консультация для воспитателей</w:t>
      </w:r>
    </w:p>
    <w:p w:rsidR="00D72BD1" w:rsidRDefault="00D72BD1" w:rsidP="00D72B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«Построение развивающей предметно-пространственной среды, как один из аспектов социальной ситуации развития дошкольника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72BD1" w:rsidRPr="001A28A3" w:rsidRDefault="00D72BD1" w:rsidP="00D72B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2BD1" w:rsidRDefault="00D72BD1" w:rsidP="00D72BD1">
      <w:pPr>
        <w:jc w:val="both"/>
        <w:rPr>
          <w:rFonts w:ascii="Times New Roman" w:hAnsi="Times New Roman"/>
          <w:sz w:val="24"/>
          <w:szCs w:val="24"/>
        </w:rPr>
      </w:pPr>
    </w:p>
    <w:p w:rsidR="00D72BD1" w:rsidRDefault="00D72BD1" w:rsidP="00D72BD1">
      <w:pPr>
        <w:jc w:val="both"/>
        <w:rPr>
          <w:rFonts w:ascii="Times New Roman" w:hAnsi="Times New Roman"/>
          <w:sz w:val="24"/>
          <w:szCs w:val="24"/>
        </w:rPr>
      </w:pPr>
    </w:p>
    <w:p w:rsidR="00D72BD1" w:rsidRDefault="00D72BD1" w:rsidP="00D72BD1">
      <w:pPr>
        <w:jc w:val="both"/>
        <w:rPr>
          <w:rFonts w:ascii="Times New Roman" w:hAnsi="Times New Roman"/>
          <w:sz w:val="24"/>
          <w:szCs w:val="24"/>
        </w:rPr>
      </w:pPr>
    </w:p>
    <w:p w:rsidR="00D72BD1" w:rsidRPr="001A28A3" w:rsidRDefault="00D72BD1" w:rsidP="00D72BD1">
      <w:pPr>
        <w:jc w:val="both"/>
        <w:rPr>
          <w:rFonts w:ascii="Times New Roman" w:hAnsi="Times New Roman"/>
          <w:sz w:val="24"/>
          <w:szCs w:val="24"/>
        </w:rPr>
      </w:pPr>
    </w:p>
    <w:p w:rsidR="00D72BD1" w:rsidRDefault="00D72BD1" w:rsidP="00D72BD1">
      <w:pPr>
        <w:jc w:val="both"/>
        <w:rPr>
          <w:rFonts w:ascii="Times New Roman" w:hAnsi="Times New Roman"/>
          <w:sz w:val="24"/>
          <w:szCs w:val="24"/>
        </w:rPr>
      </w:pPr>
    </w:p>
    <w:p w:rsidR="00D72BD1" w:rsidRDefault="00D72BD1" w:rsidP="00D72BD1">
      <w:pPr>
        <w:jc w:val="both"/>
        <w:rPr>
          <w:rFonts w:ascii="Times New Roman" w:hAnsi="Times New Roman"/>
          <w:sz w:val="24"/>
          <w:szCs w:val="24"/>
        </w:rPr>
      </w:pPr>
    </w:p>
    <w:p w:rsidR="00D72BD1" w:rsidRDefault="00D72BD1" w:rsidP="00D72BD1">
      <w:pPr>
        <w:jc w:val="both"/>
        <w:rPr>
          <w:rFonts w:ascii="Times New Roman" w:hAnsi="Times New Roman"/>
          <w:sz w:val="24"/>
          <w:szCs w:val="24"/>
        </w:rPr>
      </w:pPr>
    </w:p>
    <w:p w:rsidR="00D72BD1" w:rsidRDefault="00D72BD1" w:rsidP="00D72BD1">
      <w:pPr>
        <w:jc w:val="both"/>
        <w:rPr>
          <w:rFonts w:ascii="Times New Roman" w:hAnsi="Times New Roman"/>
          <w:sz w:val="24"/>
          <w:szCs w:val="24"/>
        </w:rPr>
      </w:pPr>
    </w:p>
    <w:p w:rsidR="00D72BD1" w:rsidRDefault="00D72BD1" w:rsidP="00D72BD1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7.9pt;width:189pt;height:87.85pt;z-index:251659264" strokecolor="white">
            <v:textbox>
              <w:txbxContent>
                <w:p w:rsidR="00D72BD1" w:rsidRDefault="00D72BD1" w:rsidP="00D72BD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8A3">
                    <w:rPr>
                      <w:rFonts w:ascii="Times New Roman" w:hAnsi="Times New Roman"/>
                      <w:sz w:val="24"/>
                      <w:szCs w:val="24"/>
                    </w:rPr>
                    <w:t>Составила:</w:t>
                  </w:r>
                  <w:r w:rsidRPr="00D72BD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D72BD1" w:rsidRPr="001A28A3" w:rsidRDefault="00D72BD1" w:rsidP="00D72BD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Гончарова Евгения Михайловна</w:t>
                  </w:r>
                </w:p>
                <w:p w:rsidR="00D72BD1" w:rsidRPr="001A28A3" w:rsidRDefault="00D72BD1" w:rsidP="00D72BD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воспитатель  первой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A28A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квалификационной </w:t>
                  </w:r>
                  <w:r w:rsidRPr="001A28A3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категории </w:t>
                  </w:r>
                </w:p>
              </w:txbxContent>
            </v:textbox>
          </v:shape>
        </w:pict>
      </w:r>
    </w:p>
    <w:p w:rsidR="00D72BD1" w:rsidRDefault="00D72BD1" w:rsidP="00D72BD1">
      <w:pPr>
        <w:jc w:val="both"/>
        <w:rPr>
          <w:rFonts w:ascii="Times New Roman" w:hAnsi="Times New Roman"/>
          <w:sz w:val="24"/>
          <w:szCs w:val="24"/>
        </w:rPr>
      </w:pPr>
    </w:p>
    <w:p w:rsidR="00D72BD1" w:rsidRDefault="00D72BD1" w:rsidP="00D72B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D72BD1" w:rsidRDefault="00D72BD1" w:rsidP="00D72BD1">
      <w:pPr>
        <w:jc w:val="both"/>
        <w:rPr>
          <w:rFonts w:ascii="Times New Roman" w:hAnsi="Times New Roman"/>
          <w:sz w:val="24"/>
          <w:szCs w:val="24"/>
        </w:rPr>
      </w:pPr>
    </w:p>
    <w:p w:rsidR="00D72BD1" w:rsidRDefault="00D72BD1" w:rsidP="00D72BD1">
      <w:pPr>
        <w:jc w:val="center"/>
        <w:rPr>
          <w:rFonts w:ascii="Times New Roman" w:hAnsi="Times New Roman"/>
          <w:sz w:val="24"/>
          <w:szCs w:val="24"/>
        </w:rPr>
      </w:pPr>
    </w:p>
    <w:p w:rsidR="00D72BD1" w:rsidRDefault="00D72BD1" w:rsidP="00D72BD1">
      <w:pPr>
        <w:jc w:val="center"/>
        <w:rPr>
          <w:rFonts w:ascii="Times New Roman" w:hAnsi="Times New Roman"/>
          <w:sz w:val="24"/>
          <w:szCs w:val="24"/>
        </w:rPr>
      </w:pPr>
    </w:p>
    <w:p w:rsidR="00D72BD1" w:rsidRPr="00A947D4" w:rsidRDefault="00D72BD1" w:rsidP="00D72B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Волжский, 2014г.</w:t>
      </w:r>
    </w:p>
    <w:p w:rsidR="00D72BD1" w:rsidRDefault="00D72BD1" w:rsidP="003B087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3B087B" w:rsidRPr="00D72BD1" w:rsidRDefault="003B087B" w:rsidP="003B087B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Консультация для воспитателей ДОУ «Организация предметно-развивающей среды ДОУ в связи с введением ФГОС»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и психологи утверждают, что на развитие ребёнка оказывают влияние: наследственность, среда и воспитание. Период от рождения до поступления в школу является возрастом наиболее стремительного физического и психического развития ребенка, временем первоначального формирования физических и психических качеств, необходимых человеку в течение всей последующей жизни, — качеств и свойств, делающих его человеком.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организации предметно-развивающей среды ДОУ на сегодняшний день стоит особо актуально. Это связано с введением нового Федерального государственного образовательного стандарта (ФГОС) к структуре основной общеобразовательной программы дошкольного образования.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развивающей среды в ДОУ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обогатить среду элементами, стимулирующими познавательную, эмоциональную, двигательную деятельность детей.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предметно-развивающая среда должна обеспечивать максимальную реализацию образовательного потенциала.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она должна быть доступной: доступность для воспитанников всех помещений организации, где осуществляется образовательный процесс и свободный доступ воспитанников к играм, игрушкам, материалам, пособиям, обеспечивающих все основные виды деятельности.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Предметно-развивающая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работы-магниты,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 </w:t>
      </w:r>
      <w:proofErr w:type="gramStart"/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proofErr w:type="gramEnd"/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учитывающие интересы мальчиков и девочек, как в труде, так и в игре. Мальчикам нужны инструменты для работы с деревом, девочкам для работы с рукоделием. Для развития творческого замысла в игре девочкам потребуются предметы женской одежды, украшения, кружевные накидки, банты, сумочки, зонтики и т. </w:t>
      </w:r>
      <w:proofErr w:type="gramStart"/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п. ;</w:t>
      </w:r>
      <w:proofErr w:type="gramEnd"/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мальчикам - детали военной формы, предметы обмундирования и вооружения рыцарей, русских богатырей, разнообразные технические игрушки. Важно иметь большое </w:t>
      </w: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«подручных» материалов (веревок, коробочек, проволочек, колес, ленточек, которые творчески используются для решения различных игровых проблем.</w:t>
      </w:r>
    </w:p>
    <w:p w:rsidR="003B087B" w:rsidRPr="00D72BD1" w:rsidRDefault="003B087B" w:rsidP="003B087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Таким образом, можно сделать выводы: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в дошкольной педагогике под термином «развивающая среда» понимается «комплекс материально-технических, санитарно-гигиенических, эргономических, эстетических, психолого-педагогических условий, обеспечивающих организацию жизни детей и взрослых»;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исходя из требований ФГОС, предметно-развивающая среда должна не только обеспечивать максимальную реализацию образовательного потенциала, но и быть доступной, обеспечивать возможности для основных видов деятельности детей и взрослых.</w:t>
      </w:r>
    </w:p>
    <w:p w:rsidR="003B087B" w:rsidRPr="00D72BD1" w:rsidRDefault="003B087B" w:rsidP="003B087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Создавая предметно-развивающую среду необходимо помнить: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Необходимо гибкое и вариативное использование пространства. Среда должна служить удовлетворению потребностей и интересов ребенка.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Форма и дизайн предметов ориентирована на безопасность и возраст детей.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4. Элементы декора должны быть легко сменяемыми.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каждой группе необходимо предусмотреть место для детской экспериментальной деятельности.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 - </w:t>
      </w:r>
      <w:proofErr w:type="spellStart"/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потребностной</w:t>
      </w:r>
      <w:proofErr w:type="spellEnd"/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сферы.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7. Цветовая палитра должна быть представлена теплыми, пастельными тонами.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создании развивающего пространства в групповом помещении необходимо учитывать ведущую роль игровой деятельности.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Предметно-развивающая среда группы должна меняться в зависимости от возрастных особенностей детей, периода обучения, образовательной программы;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ФГОС рекомендованы следующие принципы построения предметно - пространственной среды: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дистанции позиции при взаимодействии.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активности, самостоятельности, творчества.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принцип комплексирования и гибкого зонирования.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стабильности – динамичности развивающей среды.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сочетания привычных и неординарных элементов в эстетической организации среды.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открытости — закрытости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гендерный принцип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-принцип </w:t>
      </w:r>
      <w:proofErr w:type="spellStart"/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эмоциогенности</w:t>
      </w:r>
      <w:proofErr w:type="spellEnd"/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среды, индивидуальной комфортности и эмоционального благополучия каждого ребенка и взрослого.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создавая предметно-развивающую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 Необходимо обогатить среду элементами, стимулирующими познавательную, эмоциональную, двигательную деятельность детей.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важно правильно подойти к вопросу создания предметно-пространственной среды в группе. Внимательно наблюдая за каждым ребенком, педагоги группы должны вдумчиво и рационально организовать развивающее пространство своей группы.</w:t>
      </w:r>
    </w:p>
    <w:p w:rsidR="003B087B" w:rsidRPr="00D72BD1" w:rsidRDefault="003B087B" w:rsidP="003B087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литературы: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Киреева, Л. Г. Организация предметно-развивающей среды: из опыта работы [Текст] / Л. Г. Киреева. – </w:t>
      </w:r>
      <w:proofErr w:type="gramStart"/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Учитель. – 2009. –143 с.</w:t>
      </w:r>
    </w:p>
    <w:p w:rsidR="003B087B" w:rsidRPr="00D72BD1" w:rsidRDefault="003B087B" w:rsidP="003B087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Приказ </w:t>
      </w:r>
      <w:proofErr w:type="spellStart"/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17.10.2013 N 1155 "Об утверждении федерального государственного образовательного стандарта дошкольного образования" [Электронный ресурс] / Официальный сайт компании "Консультант Плюс"; Электрон, дан. - М. 2013 - Режим </w:t>
      </w:r>
      <w:proofErr w:type="gramStart"/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 :</w:t>
      </w:r>
      <w:proofErr w:type="gramEnd"/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72B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http://www.consultant.ru/law/hotdocs/29614.html</w:t>
      </w: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свободный. - </w:t>
      </w:r>
      <w:proofErr w:type="spellStart"/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экрана. -Яз. рус, англ.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Кирьянова, Р. А. Принципы построения предметно-развивающей среды в дошкольном образовательном учреждении [Текст] / Р. А. Кирьянова. - Санкт-Петербург: Детство-Пресс, 2010. – 5 - 12 с.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В. Предметно - пространственная развивающая среда в детском саду [Текст] /Н. В. </w:t>
      </w:r>
      <w:proofErr w:type="spellStart"/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Санкт-Петербург: Детство-Пресс, 2010. – 128 с.</w:t>
      </w:r>
    </w:p>
    <w:p w:rsidR="00F570CC" w:rsidRPr="00D72BD1" w:rsidRDefault="00F570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70CC" w:rsidRPr="00D72BD1" w:rsidSect="00D72BD1">
      <w:pgSz w:w="11906" w:h="16838" w:code="9"/>
      <w:pgMar w:top="1134" w:right="851" w:bottom="1134" w:left="1701" w:header="709" w:footer="709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87B"/>
    <w:rsid w:val="003B087B"/>
    <w:rsid w:val="00D72BD1"/>
    <w:rsid w:val="00F5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13384CE-541D-4E6B-8232-CFBA7579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0CC"/>
  </w:style>
  <w:style w:type="paragraph" w:styleId="1">
    <w:name w:val="heading 1"/>
    <w:basedOn w:val="a"/>
    <w:link w:val="10"/>
    <w:uiPriority w:val="9"/>
    <w:qFormat/>
    <w:rsid w:val="003B08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8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87B"/>
    <w:rPr>
      <w:b/>
      <w:bCs/>
    </w:rPr>
  </w:style>
  <w:style w:type="character" w:customStyle="1" w:styleId="apple-converted-space">
    <w:name w:val="apple-converted-space"/>
    <w:basedOn w:val="a0"/>
    <w:rsid w:val="003B087B"/>
  </w:style>
  <w:style w:type="paragraph" w:styleId="a5">
    <w:name w:val="Balloon Text"/>
    <w:basedOn w:val="a"/>
    <w:link w:val="a6"/>
    <w:uiPriority w:val="99"/>
    <w:semiHidden/>
    <w:unhideWhenUsed/>
    <w:rsid w:val="00D72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2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2</cp:revision>
  <cp:lastPrinted>2014-11-11T13:22:00Z</cp:lastPrinted>
  <dcterms:created xsi:type="dcterms:W3CDTF">2014-10-12T18:48:00Z</dcterms:created>
  <dcterms:modified xsi:type="dcterms:W3CDTF">2014-11-11T13:24:00Z</dcterms:modified>
</cp:coreProperties>
</file>